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81F7C7" w14:textId="570CE2BC" w:rsidR="007D5296" w:rsidRPr="00BB37C1" w:rsidRDefault="007D5296" w:rsidP="00E353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lang w:eastAsia="de-CH"/>
        </w:rPr>
      </w:pPr>
      <w:bookmarkStart w:id="0" w:name="_Hlk152338528"/>
      <w:r w:rsidRPr="00BB37C1">
        <w:rPr>
          <w:rFonts w:asciiTheme="majorHAnsi" w:eastAsia="Times New Roman" w:hAnsiTheme="majorHAnsi" w:cstheme="majorHAnsi"/>
          <w:lang w:eastAsia="de-CH"/>
        </w:rPr>
        <w:t xml:space="preserve">Lindlar, </w:t>
      </w:r>
      <w:r w:rsidR="00415BF6" w:rsidRPr="00BB37C1">
        <w:rPr>
          <w:rFonts w:asciiTheme="majorHAnsi" w:eastAsia="Times New Roman" w:hAnsiTheme="majorHAnsi" w:cstheme="majorHAnsi"/>
          <w:lang w:eastAsia="de-CH"/>
        </w:rPr>
        <w:t>01</w:t>
      </w:r>
      <w:r w:rsidRPr="00BB37C1">
        <w:rPr>
          <w:rFonts w:asciiTheme="majorHAnsi" w:eastAsia="Times New Roman" w:hAnsiTheme="majorHAnsi" w:cstheme="majorHAnsi"/>
          <w:lang w:eastAsia="de-CH"/>
        </w:rPr>
        <w:t>.07.202</w:t>
      </w:r>
      <w:r w:rsidR="00415BF6" w:rsidRPr="00BB37C1">
        <w:rPr>
          <w:rFonts w:asciiTheme="majorHAnsi" w:eastAsia="Times New Roman" w:hAnsiTheme="majorHAnsi" w:cstheme="majorHAnsi"/>
          <w:lang w:eastAsia="de-CH"/>
        </w:rPr>
        <w:t>2</w:t>
      </w:r>
    </w:p>
    <w:p w14:paraId="261CA545" w14:textId="77777777" w:rsidR="007D5296" w:rsidRPr="008B01AF" w:rsidRDefault="007D5296" w:rsidP="00E353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theme="minorHAnsi"/>
          <w:lang w:eastAsia="de-CH"/>
        </w:rPr>
      </w:pPr>
    </w:p>
    <w:p w14:paraId="4555E83D" w14:textId="2D73D7D2" w:rsidR="00415BF6" w:rsidRPr="008B01AF" w:rsidRDefault="00415BF6" w:rsidP="008B01AF">
      <w:pPr>
        <w:pStyle w:val="Beschriftung"/>
        <w:rPr>
          <w:rFonts w:cstheme="minorHAnsi"/>
          <w:b/>
          <w:bCs/>
          <w:i w:val="0"/>
          <w:iCs w:val="0"/>
          <w:color w:val="000000"/>
          <w:w w:val="99"/>
          <w:sz w:val="36"/>
          <w:szCs w:val="36"/>
        </w:rPr>
      </w:pPr>
      <w:r w:rsidRPr="008B01AF">
        <w:rPr>
          <w:rFonts w:cstheme="minorHAnsi"/>
          <w:b/>
          <w:bCs/>
          <w:i w:val="0"/>
          <w:iCs w:val="0"/>
          <w:w w:val="99"/>
          <w:sz w:val="36"/>
          <w:szCs w:val="36"/>
        </w:rPr>
        <w:t xml:space="preserve">BNP Paribas Fortis </w:t>
      </w:r>
      <w:r w:rsidR="008B01AF">
        <w:rPr>
          <w:rFonts w:cstheme="minorHAnsi"/>
          <w:b/>
          <w:bCs/>
          <w:i w:val="0"/>
          <w:iCs w:val="0"/>
          <w:w w:val="99"/>
          <w:sz w:val="36"/>
          <w:szCs w:val="36"/>
        </w:rPr>
        <w:t>–</w:t>
      </w:r>
      <w:r w:rsidRPr="008B01AF">
        <w:rPr>
          <w:rFonts w:cstheme="minorHAnsi"/>
          <w:b/>
          <w:bCs/>
          <w:i w:val="0"/>
          <w:iCs w:val="0"/>
          <w:w w:val="99"/>
          <w:sz w:val="36"/>
          <w:szCs w:val="36"/>
        </w:rPr>
        <w:t xml:space="preserve"> </w:t>
      </w:r>
      <w:r w:rsidR="008B01AF">
        <w:rPr>
          <w:rFonts w:cstheme="minorHAnsi"/>
          <w:b/>
          <w:bCs/>
          <w:i w:val="0"/>
          <w:iCs w:val="0"/>
          <w:w w:val="99"/>
          <w:sz w:val="36"/>
          <w:szCs w:val="36"/>
        </w:rPr>
        <w:br/>
      </w:r>
      <w:r w:rsidRPr="008B01AF">
        <w:rPr>
          <w:rFonts w:cstheme="minorHAnsi"/>
          <w:b/>
          <w:bCs/>
          <w:i w:val="0"/>
          <w:iCs w:val="0"/>
          <w:w w:val="99"/>
          <w:sz w:val="28"/>
          <w:szCs w:val="28"/>
        </w:rPr>
        <w:t>Intelligente Gebäudelösungen für eines der modernsten Bankgebäude in der Hauptstadt Europas</w:t>
      </w:r>
    </w:p>
    <w:p w14:paraId="0B484C0C" w14:textId="77777777" w:rsidR="00415BF6" w:rsidRPr="008B01AF" w:rsidRDefault="00415BF6" w:rsidP="00415BF6">
      <w:pPr>
        <w:pStyle w:val="KeinAbsatzformat"/>
        <w:tabs>
          <w:tab w:val="left" w:pos="380"/>
          <w:tab w:val="left" w:pos="820"/>
        </w:tabs>
        <w:suppressAutoHyphens/>
        <w:spacing w:before="57" w:after="283" w:line="276" w:lineRule="auto"/>
        <w:rPr>
          <w:rFonts w:asciiTheme="majorHAnsi" w:hAnsiTheme="majorHAnsi" w:cstheme="majorHAnsi"/>
          <w:sz w:val="22"/>
          <w:szCs w:val="22"/>
        </w:rPr>
      </w:pPr>
      <w:r w:rsidRPr="008B01AF">
        <w:rPr>
          <w:rFonts w:asciiTheme="majorHAnsi" w:hAnsiTheme="majorHAnsi" w:cstheme="majorHAnsi"/>
          <w:noProof/>
          <w:sz w:val="22"/>
          <w:szCs w:val="22"/>
        </w:rPr>
        <w:drawing>
          <wp:inline distT="0" distB="0" distL="0" distR="0" wp14:anchorId="3D98BB4A" wp14:editId="652300C6">
            <wp:extent cx="5759450" cy="3244215"/>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59450" cy="3244215"/>
                    </a:xfrm>
                    <a:prstGeom prst="rect">
                      <a:avLst/>
                    </a:prstGeom>
                  </pic:spPr>
                </pic:pic>
              </a:graphicData>
            </a:graphic>
          </wp:inline>
        </w:drawing>
      </w:r>
    </w:p>
    <w:p w14:paraId="0BBB36F1" w14:textId="0AE1961B" w:rsidR="00415BF6" w:rsidRPr="008B01AF" w:rsidRDefault="00415BF6" w:rsidP="00415BF6">
      <w:pPr>
        <w:pStyle w:val="KeinAbsatzformat"/>
        <w:tabs>
          <w:tab w:val="left" w:pos="380"/>
          <w:tab w:val="left" w:pos="820"/>
        </w:tabs>
        <w:suppressAutoHyphens/>
        <w:spacing w:before="57" w:after="283" w:line="276" w:lineRule="auto"/>
        <w:rPr>
          <w:rFonts w:asciiTheme="majorHAnsi" w:hAnsiTheme="majorHAnsi" w:cstheme="majorHAnsi"/>
          <w:sz w:val="22"/>
          <w:szCs w:val="22"/>
        </w:rPr>
      </w:pPr>
      <w:r w:rsidRPr="008B01AF">
        <w:rPr>
          <w:rFonts w:asciiTheme="majorHAnsi" w:hAnsiTheme="majorHAnsi" w:cstheme="majorHAnsi"/>
          <w:sz w:val="22"/>
          <w:szCs w:val="22"/>
        </w:rPr>
        <w:t xml:space="preserve">Rund 2.000 internationale Unternehmen haben ihren europäischen Hauptsitz in Brüssel. Neben der strategischen und politischen Bedeutung ist die Hauptstadt Europas damit einer der wichtigsten, internationalen Finanzplätze. Somit scheint es geradezu selbstverständlich, dass die französisch-belgische Bankgruppe BNP Paribas Fortis mit dem Neubau ihres Gebäudes im Finanzzentrum Zeichen setzen wollte. </w:t>
      </w:r>
    </w:p>
    <w:p w14:paraId="283779AB" w14:textId="77777777" w:rsidR="00415BF6" w:rsidRPr="008B01AF" w:rsidRDefault="00415BF6" w:rsidP="00415BF6">
      <w:pPr>
        <w:pStyle w:val="KeinAbsatzformat"/>
        <w:tabs>
          <w:tab w:val="left" w:pos="380"/>
          <w:tab w:val="left" w:pos="820"/>
        </w:tabs>
        <w:suppressAutoHyphens/>
        <w:spacing w:before="57" w:after="283" w:line="276" w:lineRule="auto"/>
        <w:rPr>
          <w:rFonts w:asciiTheme="majorHAnsi" w:hAnsiTheme="majorHAnsi" w:cstheme="majorHAnsi"/>
          <w:sz w:val="22"/>
          <w:szCs w:val="22"/>
        </w:rPr>
      </w:pPr>
      <w:r w:rsidRPr="008B01AF">
        <w:rPr>
          <w:rFonts w:asciiTheme="majorHAnsi" w:hAnsiTheme="majorHAnsi" w:cstheme="majorHAnsi"/>
          <w:sz w:val="22"/>
          <w:szCs w:val="22"/>
        </w:rPr>
        <w:t>BNP Paribas Fortis entschied, dass der größte Mehrwert durch den Bau eines neuen Gebäudes am selben Standort erzielt werden würde. Neuste Umwelt- und Energiestandards sowie ein Gleichgewicht zwischen ökologisch, wirtschaftlichen, ästhetischen und sozialen Aspekten sollten in die Gebäudeplanung einbezogen werden. Das zuvor bestehende Bankgebäude aus den 1970er Jahren war veraltet und wurde den Ansprüchen nicht gerecht.</w:t>
      </w:r>
    </w:p>
    <w:p w14:paraId="73435ED9" w14:textId="77777777" w:rsidR="00415BF6" w:rsidRPr="008B01AF" w:rsidRDefault="00415BF6" w:rsidP="00415BF6">
      <w:pPr>
        <w:pStyle w:val="KeinAbsatzformat"/>
        <w:tabs>
          <w:tab w:val="left" w:pos="380"/>
          <w:tab w:val="left" w:pos="820"/>
        </w:tabs>
        <w:suppressAutoHyphens/>
        <w:spacing w:before="57" w:after="283" w:line="276" w:lineRule="auto"/>
        <w:rPr>
          <w:rFonts w:asciiTheme="majorHAnsi" w:hAnsiTheme="majorHAnsi" w:cstheme="majorHAnsi"/>
          <w:sz w:val="22"/>
          <w:szCs w:val="22"/>
        </w:rPr>
      </w:pPr>
      <w:r w:rsidRPr="008B01AF">
        <w:rPr>
          <w:rFonts w:asciiTheme="majorHAnsi" w:hAnsiTheme="majorHAnsi" w:cstheme="majorHAnsi"/>
          <w:sz w:val="22"/>
          <w:szCs w:val="22"/>
        </w:rPr>
        <w:t xml:space="preserve">2013 konnte das österreichische Büro Baumschlager Eberle Architekten im Rahmen eines Architekturwettbewerbs mit einem gelungenen Konzept überzeugen. An dem Projekt arbeiten auch ein Dutzend belgische Unternehmen mit, darunter das Architekturbüro </w:t>
      </w:r>
      <w:proofErr w:type="spellStart"/>
      <w:r w:rsidRPr="008B01AF">
        <w:rPr>
          <w:rFonts w:asciiTheme="majorHAnsi" w:hAnsiTheme="majorHAnsi" w:cstheme="majorHAnsi"/>
          <w:sz w:val="22"/>
          <w:szCs w:val="22"/>
        </w:rPr>
        <w:t>Styfhals</w:t>
      </w:r>
      <w:proofErr w:type="spellEnd"/>
      <w:r w:rsidRPr="008B01AF">
        <w:rPr>
          <w:rFonts w:asciiTheme="majorHAnsi" w:hAnsiTheme="majorHAnsi" w:cstheme="majorHAnsi"/>
          <w:sz w:val="22"/>
          <w:szCs w:val="22"/>
        </w:rPr>
        <w:t xml:space="preserve"> &amp; Partners. Heute passt sich das 2021 fertiggestellte Bankhaus am </w:t>
      </w:r>
      <w:proofErr w:type="spellStart"/>
      <w:r w:rsidRPr="008B01AF">
        <w:rPr>
          <w:rFonts w:asciiTheme="majorHAnsi" w:hAnsiTheme="majorHAnsi" w:cstheme="majorHAnsi"/>
          <w:sz w:val="22"/>
          <w:szCs w:val="22"/>
        </w:rPr>
        <w:t>Warandeberg</w:t>
      </w:r>
      <w:proofErr w:type="spellEnd"/>
      <w:r w:rsidRPr="008B01AF">
        <w:rPr>
          <w:rFonts w:asciiTheme="majorHAnsi" w:hAnsiTheme="majorHAnsi" w:cstheme="majorHAnsi"/>
          <w:sz w:val="22"/>
          <w:szCs w:val="22"/>
        </w:rPr>
        <w:t xml:space="preserve"> mit einer modernen Formsprache in </w:t>
      </w:r>
      <w:r w:rsidRPr="008B01AF">
        <w:rPr>
          <w:rFonts w:asciiTheme="majorHAnsi" w:hAnsiTheme="majorHAnsi" w:cstheme="majorHAnsi"/>
          <w:sz w:val="22"/>
          <w:szCs w:val="22"/>
        </w:rPr>
        <w:lastRenderedPageBreak/>
        <w:t xml:space="preserve">das städtische Umfeld ein. Die große, geschwungene Bauform ist außergewöhnlich. Sie greift das hügelige Terrain und die kurvigen Straßenverläufe des Innenstadtquartiers auf. </w:t>
      </w:r>
    </w:p>
    <w:p w14:paraId="46B778C3" w14:textId="77777777" w:rsidR="00415BF6" w:rsidRPr="008B01AF" w:rsidRDefault="00415BF6" w:rsidP="00415BF6">
      <w:pPr>
        <w:pStyle w:val="KeinAbsatzformat"/>
        <w:tabs>
          <w:tab w:val="left" w:pos="380"/>
          <w:tab w:val="left" w:pos="820"/>
        </w:tabs>
        <w:suppressAutoHyphens/>
        <w:spacing w:before="57" w:after="283" w:line="276" w:lineRule="auto"/>
        <w:rPr>
          <w:rFonts w:asciiTheme="majorHAnsi" w:hAnsiTheme="majorHAnsi" w:cstheme="majorHAnsi"/>
          <w:sz w:val="22"/>
          <w:szCs w:val="22"/>
        </w:rPr>
      </w:pPr>
      <w:r w:rsidRPr="008B01AF">
        <w:rPr>
          <w:rFonts w:asciiTheme="majorHAnsi" w:hAnsiTheme="majorHAnsi" w:cstheme="majorHAnsi"/>
          <w:noProof/>
          <w:sz w:val="22"/>
          <w:szCs w:val="22"/>
        </w:rPr>
        <w:drawing>
          <wp:inline distT="0" distB="0" distL="0" distR="0" wp14:anchorId="14254FC5" wp14:editId="733816B8">
            <wp:extent cx="5759450" cy="324421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59450" cy="3244215"/>
                    </a:xfrm>
                    <a:prstGeom prst="rect">
                      <a:avLst/>
                    </a:prstGeom>
                  </pic:spPr>
                </pic:pic>
              </a:graphicData>
            </a:graphic>
          </wp:inline>
        </w:drawing>
      </w:r>
    </w:p>
    <w:p w14:paraId="7A9AA0D7" w14:textId="49CC892E" w:rsidR="00415BF6" w:rsidRPr="008B01AF" w:rsidRDefault="00415BF6" w:rsidP="00415BF6">
      <w:pPr>
        <w:pStyle w:val="KeinAbsatzformat"/>
        <w:tabs>
          <w:tab w:val="left" w:pos="380"/>
          <w:tab w:val="left" w:pos="820"/>
        </w:tabs>
        <w:suppressAutoHyphens/>
        <w:spacing w:before="57" w:after="283" w:line="276" w:lineRule="auto"/>
        <w:rPr>
          <w:rFonts w:asciiTheme="majorHAnsi" w:hAnsiTheme="majorHAnsi" w:cstheme="majorHAnsi"/>
          <w:sz w:val="22"/>
          <w:szCs w:val="22"/>
        </w:rPr>
      </w:pPr>
      <w:r w:rsidRPr="008B01AF">
        <w:rPr>
          <w:rFonts w:asciiTheme="majorHAnsi" w:hAnsiTheme="majorHAnsi" w:cstheme="majorHAnsi"/>
          <w:sz w:val="22"/>
          <w:szCs w:val="22"/>
        </w:rPr>
        <w:t>Gleich 4.500 Arbeitsplätze konnten auf einer Gesamtfläche von 100.000 qm geschaffen werden, etwa 70 % mehr als zuvor. Ein Auditorium, ein Konferenzzentrum, eine Tiefgarage für 268 Kraftfahrzeuge, 40 Motorräder und 330 Fahrräder sowie eine Ladenpassage finden Platz. Investitionen in Design, Erholungsräume, Vernetzung und Komfort sorgen für einen angenehmen Aufenthalt im neuen Hauptsitz der BNP Paribas Fortis.</w:t>
      </w:r>
    </w:p>
    <w:p w14:paraId="59373536" w14:textId="77777777" w:rsidR="00415BF6" w:rsidRPr="008B01AF" w:rsidRDefault="00415BF6" w:rsidP="00415BF6">
      <w:pPr>
        <w:pStyle w:val="KeinAbsatzformat"/>
        <w:tabs>
          <w:tab w:val="left" w:pos="380"/>
          <w:tab w:val="left" w:pos="820"/>
        </w:tabs>
        <w:suppressAutoHyphens/>
        <w:spacing w:before="57" w:after="283" w:line="276" w:lineRule="auto"/>
        <w:rPr>
          <w:rFonts w:asciiTheme="majorHAnsi" w:hAnsiTheme="majorHAnsi" w:cstheme="majorHAnsi"/>
          <w:sz w:val="22"/>
          <w:szCs w:val="22"/>
        </w:rPr>
      </w:pPr>
      <w:r w:rsidRPr="008B01AF">
        <w:rPr>
          <w:rFonts w:asciiTheme="majorHAnsi" w:hAnsiTheme="majorHAnsi" w:cstheme="majorHAnsi"/>
          <w:noProof/>
          <w:sz w:val="22"/>
          <w:szCs w:val="22"/>
        </w:rPr>
        <w:lastRenderedPageBreak/>
        <w:drawing>
          <wp:inline distT="0" distB="0" distL="0" distR="0" wp14:anchorId="44D2D828" wp14:editId="27365AC6">
            <wp:extent cx="5759450" cy="324421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59450" cy="3244215"/>
                    </a:xfrm>
                    <a:prstGeom prst="rect">
                      <a:avLst/>
                    </a:prstGeom>
                  </pic:spPr>
                </pic:pic>
              </a:graphicData>
            </a:graphic>
          </wp:inline>
        </w:drawing>
      </w:r>
    </w:p>
    <w:p w14:paraId="19195B9B" w14:textId="6B45360B" w:rsidR="00415BF6" w:rsidRPr="008B01AF" w:rsidRDefault="00415BF6" w:rsidP="00415BF6">
      <w:pPr>
        <w:pStyle w:val="KeinAbsatzformat"/>
        <w:tabs>
          <w:tab w:val="left" w:pos="380"/>
          <w:tab w:val="left" w:pos="820"/>
        </w:tabs>
        <w:suppressAutoHyphens/>
        <w:spacing w:before="57" w:after="283" w:line="276" w:lineRule="auto"/>
        <w:rPr>
          <w:rFonts w:asciiTheme="majorHAnsi" w:hAnsiTheme="majorHAnsi" w:cstheme="majorHAnsi"/>
          <w:sz w:val="22"/>
          <w:szCs w:val="22"/>
        </w:rPr>
      </w:pPr>
      <w:r w:rsidRPr="008B01AF">
        <w:rPr>
          <w:rFonts w:asciiTheme="majorHAnsi" w:hAnsiTheme="majorHAnsi" w:cstheme="majorHAnsi"/>
          <w:sz w:val="22"/>
          <w:szCs w:val="22"/>
        </w:rPr>
        <w:t>Das Bauprojekts ist maßgebend nachhaltig. So wurde Wert daraufgelegt, dass Teile des Vorgängergebäudes recycelt wurden und dessen mächtige, unterirdische Wanne weitergenutzt wird. Das Gebäude nutzt einen unterirdischen Speicher mit bis zu 14.000 Kubikmetern Wasser zur saisonalen Wärmespeicherung oder Kühlung. Damit erreicht das Gebäude Passivhausstandard. Auf den Dächern befinden sich neben PV-Paneelen große Grünflächen. Mitten in der Innenstadt sorgen sie für ein besseres Klima und bieten Lebensraum für Pflanzen, Insekten und Vögel.</w:t>
      </w:r>
    </w:p>
    <w:p w14:paraId="3ED53FE6" w14:textId="77777777" w:rsidR="00415BF6" w:rsidRPr="008B01AF" w:rsidRDefault="00415BF6" w:rsidP="00415BF6">
      <w:pPr>
        <w:pStyle w:val="Absatzformat1"/>
        <w:spacing w:line="276" w:lineRule="auto"/>
        <w:ind w:firstLine="0"/>
        <w:jc w:val="left"/>
        <w:rPr>
          <w:rFonts w:asciiTheme="majorHAnsi" w:hAnsiTheme="majorHAnsi" w:cstheme="majorHAnsi"/>
          <w:sz w:val="22"/>
          <w:szCs w:val="22"/>
        </w:rPr>
      </w:pPr>
      <w:r w:rsidRPr="008B01AF">
        <w:rPr>
          <w:rFonts w:asciiTheme="majorHAnsi" w:hAnsiTheme="majorHAnsi" w:cstheme="majorHAnsi"/>
          <w:noProof/>
          <w:sz w:val="22"/>
          <w:szCs w:val="22"/>
        </w:rPr>
        <w:lastRenderedPageBreak/>
        <w:drawing>
          <wp:inline distT="0" distB="0" distL="0" distR="0" wp14:anchorId="363A29EF" wp14:editId="7C514550">
            <wp:extent cx="5759450" cy="3244215"/>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59450" cy="3244215"/>
                    </a:xfrm>
                    <a:prstGeom prst="rect">
                      <a:avLst/>
                    </a:prstGeom>
                  </pic:spPr>
                </pic:pic>
              </a:graphicData>
            </a:graphic>
          </wp:inline>
        </w:drawing>
      </w:r>
    </w:p>
    <w:p w14:paraId="780F33AB" w14:textId="77777777" w:rsidR="00415BF6" w:rsidRPr="008B01AF" w:rsidRDefault="00415BF6" w:rsidP="00415BF6">
      <w:pPr>
        <w:pStyle w:val="Absatzformat1"/>
        <w:spacing w:line="276" w:lineRule="auto"/>
        <w:ind w:firstLine="0"/>
        <w:jc w:val="left"/>
        <w:rPr>
          <w:rFonts w:asciiTheme="majorHAnsi" w:hAnsiTheme="majorHAnsi" w:cstheme="majorHAnsi"/>
          <w:sz w:val="22"/>
          <w:szCs w:val="22"/>
        </w:rPr>
      </w:pPr>
    </w:p>
    <w:p w14:paraId="3A5E1098" w14:textId="77777777" w:rsidR="00415BF6" w:rsidRPr="008B01AF" w:rsidRDefault="00415BF6" w:rsidP="00415BF6">
      <w:pPr>
        <w:pStyle w:val="Absatzformat1"/>
        <w:spacing w:line="276" w:lineRule="auto"/>
        <w:ind w:firstLine="0"/>
        <w:jc w:val="left"/>
        <w:rPr>
          <w:rFonts w:asciiTheme="majorHAnsi" w:hAnsiTheme="majorHAnsi" w:cstheme="majorHAnsi"/>
          <w:sz w:val="22"/>
          <w:szCs w:val="22"/>
        </w:rPr>
      </w:pPr>
      <w:r w:rsidRPr="008B01AF">
        <w:rPr>
          <w:rFonts w:asciiTheme="majorHAnsi" w:hAnsiTheme="majorHAnsi" w:cstheme="majorHAnsi"/>
          <w:sz w:val="22"/>
          <w:szCs w:val="22"/>
        </w:rPr>
        <w:t xml:space="preserve">Passend zum nachhaltigen Konzept erhielt BNP Paribas Fortis eine Gebäudeautomation über KNX und Sensoren von B.E.G. Eine Vernetzung von Gebäudekomponenten wie Heizung, Klimaanlage, Jalousien und Beleuchtung ist heute in Europa verpflichtend für Gebäude dieser Größe. </w:t>
      </w:r>
      <w:r w:rsidRPr="008B01AF">
        <w:rPr>
          <w:rStyle w:val="Flietext"/>
          <w:rFonts w:asciiTheme="majorHAnsi" w:hAnsiTheme="majorHAnsi" w:cstheme="majorHAnsi"/>
          <w:sz w:val="22"/>
          <w:szCs w:val="22"/>
        </w:rPr>
        <w:t>Denn da, wo Menschen den Großteil der Zeit verbringen, liegt ein hohes Entwicklungs- und Einsparpotential.</w:t>
      </w:r>
      <w:r w:rsidRPr="008B01AF">
        <w:rPr>
          <w:rFonts w:asciiTheme="majorHAnsi" w:hAnsiTheme="majorHAnsi" w:cstheme="majorHAnsi"/>
          <w:sz w:val="22"/>
          <w:szCs w:val="22"/>
        </w:rPr>
        <w:t xml:space="preserve"> </w:t>
      </w:r>
    </w:p>
    <w:p w14:paraId="7588AA04" w14:textId="77777777" w:rsidR="00415BF6" w:rsidRPr="008B01AF" w:rsidRDefault="00415BF6" w:rsidP="00415BF6">
      <w:pPr>
        <w:pStyle w:val="Absatzformat1"/>
        <w:spacing w:line="276" w:lineRule="auto"/>
        <w:ind w:firstLine="0"/>
        <w:jc w:val="left"/>
        <w:rPr>
          <w:rFonts w:asciiTheme="majorHAnsi" w:hAnsiTheme="majorHAnsi" w:cstheme="majorHAnsi"/>
          <w:sz w:val="22"/>
          <w:szCs w:val="22"/>
        </w:rPr>
      </w:pPr>
    </w:p>
    <w:p w14:paraId="7CDC1AC1" w14:textId="45AF6A2A" w:rsidR="00415BF6" w:rsidRPr="008B01AF" w:rsidRDefault="00415BF6" w:rsidP="00415BF6">
      <w:pPr>
        <w:pStyle w:val="Absatzformat1"/>
        <w:spacing w:line="276" w:lineRule="auto"/>
        <w:ind w:firstLine="0"/>
        <w:jc w:val="left"/>
        <w:rPr>
          <w:rStyle w:val="Flietext"/>
          <w:rFonts w:asciiTheme="majorHAnsi" w:hAnsiTheme="majorHAnsi" w:cstheme="majorHAnsi"/>
          <w:sz w:val="22"/>
          <w:szCs w:val="22"/>
        </w:rPr>
      </w:pPr>
      <w:r w:rsidRPr="008B01AF">
        <w:rPr>
          <w:rFonts w:asciiTheme="majorHAnsi" w:hAnsiTheme="majorHAnsi" w:cstheme="majorHAnsi"/>
          <w:sz w:val="22"/>
          <w:szCs w:val="22"/>
        </w:rPr>
        <w:t xml:space="preserve">In einem KNX-gesteuerten Gebäude übernehmen miteinander vernetzte Sensoren und Aktoren zahlreiche Aufgaben. Gebäude werden „intelligent“. Insbesondere im Geschäftsgebäuden bietet die Bustechnik schon bei der Elektroinstallation Kostenvorteile gegenüber einer konventionellen Elektroinstallation. Im fortlaufenden Betrieb können hohe Energieeinsparungen erzielt werden. </w:t>
      </w:r>
      <w:r w:rsidRPr="008B01AF">
        <w:rPr>
          <w:rStyle w:val="Flietext"/>
          <w:rFonts w:asciiTheme="majorHAnsi" w:hAnsiTheme="majorHAnsi" w:cstheme="majorHAnsi"/>
          <w:sz w:val="22"/>
          <w:szCs w:val="22"/>
        </w:rPr>
        <w:t xml:space="preserve">Nutzer genießen ein Plus an Sicherheit und Komfort wie eine kontrolliert gute Luftqualität, angenehme Raumtemperaturen, biodynamisches Licht u.v.m. </w:t>
      </w:r>
    </w:p>
    <w:p w14:paraId="22FB48F7" w14:textId="77777777" w:rsidR="00415BF6" w:rsidRPr="008B01AF" w:rsidRDefault="00415BF6" w:rsidP="00415BF6">
      <w:pPr>
        <w:pStyle w:val="Absatzformat1"/>
        <w:spacing w:line="276" w:lineRule="auto"/>
        <w:ind w:firstLine="0"/>
        <w:jc w:val="left"/>
        <w:rPr>
          <w:rFonts w:asciiTheme="majorHAnsi" w:hAnsiTheme="majorHAnsi" w:cstheme="majorHAnsi"/>
          <w:sz w:val="22"/>
          <w:szCs w:val="22"/>
        </w:rPr>
      </w:pPr>
    </w:p>
    <w:p w14:paraId="50A9FFB4" w14:textId="77777777" w:rsidR="00415BF6" w:rsidRPr="008B01AF" w:rsidRDefault="00415BF6" w:rsidP="00415BF6">
      <w:pPr>
        <w:pStyle w:val="KeinAbsatzformat"/>
        <w:tabs>
          <w:tab w:val="left" w:pos="380"/>
          <w:tab w:val="left" w:pos="820"/>
        </w:tabs>
        <w:suppressAutoHyphens/>
        <w:spacing w:before="57" w:after="283" w:line="276" w:lineRule="auto"/>
        <w:rPr>
          <w:rFonts w:asciiTheme="majorHAnsi" w:hAnsiTheme="majorHAnsi" w:cstheme="majorHAnsi"/>
          <w:sz w:val="22"/>
          <w:szCs w:val="22"/>
        </w:rPr>
      </w:pPr>
      <w:r w:rsidRPr="008B01AF">
        <w:rPr>
          <w:rFonts w:asciiTheme="majorHAnsi" w:hAnsiTheme="majorHAnsi" w:cstheme="majorHAnsi"/>
          <w:noProof/>
          <w:sz w:val="22"/>
          <w:szCs w:val="22"/>
        </w:rPr>
        <w:lastRenderedPageBreak/>
        <w:drawing>
          <wp:inline distT="0" distB="0" distL="0" distR="0" wp14:anchorId="6908AE40" wp14:editId="647EE95A">
            <wp:extent cx="5759450" cy="3244215"/>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59450" cy="3244215"/>
                    </a:xfrm>
                    <a:prstGeom prst="rect">
                      <a:avLst/>
                    </a:prstGeom>
                  </pic:spPr>
                </pic:pic>
              </a:graphicData>
            </a:graphic>
          </wp:inline>
        </w:drawing>
      </w:r>
    </w:p>
    <w:p w14:paraId="1D2AE01C" w14:textId="73CB1322" w:rsidR="00415BF6" w:rsidRPr="008B01AF" w:rsidRDefault="00415BF6" w:rsidP="00415BF6">
      <w:pPr>
        <w:pStyle w:val="KeinAbsatzformat"/>
        <w:tabs>
          <w:tab w:val="left" w:pos="380"/>
          <w:tab w:val="left" w:pos="820"/>
        </w:tabs>
        <w:suppressAutoHyphens/>
        <w:spacing w:before="57" w:after="283" w:line="276" w:lineRule="auto"/>
        <w:rPr>
          <w:rFonts w:asciiTheme="majorHAnsi" w:hAnsiTheme="majorHAnsi" w:cstheme="majorHAnsi"/>
          <w:sz w:val="22"/>
          <w:szCs w:val="22"/>
        </w:rPr>
      </w:pPr>
      <w:r w:rsidRPr="008B01AF">
        <w:rPr>
          <w:rFonts w:asciiTheme="majorHAnsi" w:hAnsiTheme="majorHAnsi" w:cstheme="majorHAnsi"/>
          <w:sz w:val="22"/>
          <w:szCs w:val="22"/>
        </w:rPr>
        <w:t>Sensoren übernehmen für ein automatisiertes Gebäude eine ähnliche Funktion wie unsere Sinnesorgane. Kleine Veränderungen wie Bewegungen und Wärmequellen werden von den Passiv-Infrarot-Meldern wahrgenommen, definierte Aktionen daraufhin angestoßen.</w:t>
      </w:r>
    </w:p>
    <w:p w14:paraId="10E44461" w14:textId="77777777" w:rsidR="00415BF6" w:rsidRPr="008B01AF" w:rsidRDefault="00415BF6" w:rsidP="00415BF6">
      <w:pPr>
        <w:pStyle w:val="KeinAbsatzformat"/>
        <w:tabs>
          <w:tab w:val="left" w:pos="380"/>
          <w:tab w:val="left" w:pos="820"/>
        </w:tabs>
        <w:suppressAutoHyphens/>
        <w:spacing w:before="57" w:after="283" w:line="276" w:lineRule="auto"/>
        <w:rPr>
          <w:rFonts w:asciiTheme="majorHAnsi" w:hAnsiTheme="majorHAnsi" w:cstheme="majorHAnsi"/>
          <w:sz w:val="22"/>
          <w:szCs w:val="22"/>
        </w:rPr>
      </w:pPr>
      <w:r w:rsidRPr="008B01AF">
        <w:rPr>
          <w:rFonts w:asciiTheme="majorHAnsi" w:hAnsiTheme="majorHAnsi" w:cstheme="majorHAnsi"/>
          <w:sz w:val="22"/>
          <w:szCs w:val="22"/>
        </w:rPr>
        <w:t>Die B.E.G. Brück Electronic GmbH gilt seit Jahrzehnten als Qualitätsanbieter für Bewegungs- und Präsenzmelder. Im BNP Paribas Fortis Gebäude entschied man sich vor allem für die beiden B.E.G. Modelle PD2N-KNX und PD4N-KNX. Mit zwei integrierten Lichtsensoren erzielen diese KNX-Modelle sehr präzise Lichtmessungen. Damit eignen sie sich besonders für Innenräume mit schwierigen Lichtsituationen wie zum Beispiel für die Flure und markanten Treppenhäuser der BNP Paribas Fortis, in die Licht aus gleich mehreren Fensterfronten einfällt.</w:t>
      </w:r>
    </w:p>
    <w:p w14:paraId="201FE52D" w14:textId="77777777" w:rsidR="00415BF6" w:rsidRPr="008B01AF" w:rsidRDefault="00415BF6" w:rsidP="00415BF6">
      <w:pPr>
        <w:pStyle w:val="KeinAbsatzformat"/>
        <w:tabs>
          <w:tab w:val="left" w:pos="380"/>
          <w:tab w:val="left" w:pos="820"/>
        </w:tabs>
        <w:suppressAutoHyphens/>
        <w:spacing w:before="57" w:after="283" w:line="276" w:lineRule="auto"/>
        <w:rPr>
          <w:rFonts w:asciiTheme="majorHAnsi" w:hAnsiTheme="majorHAnsi" w:cstheme="majorHAnsi"/>
          <w:sz w:val="22"/>
          <w:szCs w:val="22"/>
        </w:rPr>
      </w:pPr>
      <w:r w:rsidRPr="008B01AF">
        <w:rPr>
          <w:rFonts w:asciiTheme="majorHAnsi" w:hAnsiTheme="majorHAnsi" w:cstheme="majorHAnsi"/>
          <w:sz w:val="22"/>
          <w:szCs w:val="22"/>
        </w:rPr>
        <w:t>Eine besonders hohe Energieersparnis von etwa 80 % sowie ein hohe Hygienequalität lässt sich durch eine Präsenzerkennung in Toilettenräumen erzielen. Hier setzten die Belgier auf den B.E.G. Melder PD3N. Licht passiert in diesen Räumen berührungslos und nur noch während der Anwesenheit von Personen. Nach einer definierten Nachlaufzeit schaltet sich die Beleuchtung automatisch ab.</w:t>
      </w:r>
    </w:p>
    <w:p w14:paraId="7A2F3D80" w14:textId="6426C67E" w:rsidR="008B01AF" w:rsidRPr="008B01AF" w:rsidRDefault="00415BF6" w:rsidP="00415BF6">
      <w:pPr>
        <w:pStyle w:val="KeinAbsatzformat"/>
        <w:tabs>
          <w:tab w:val="left" w:pos="380"/>
          <w:tab w:val="left" w:pos="820"/>
        </w:tabs>
        <w:suppressAutoHyphens/>
        <w:spacing w:before="57" w:after="283" w:line="276" w:lineRule="auto"/>
        <w:rPr>
          <w:rFonts w:asciiTheme="majorHAnsi" w:hAnsiTheme="majorHAnsi" w:cstheme="majorHAnsi"/>
          <w:sz w:val="22"/>
          <w:szCs w:val="22"/>
        </w:rPr>
      </w:pPr>
      <w:r w:rsidRPr="008B01AF">
        <w:rPr>
          <w:rFonts w:asciiTheme="majorHAnsi" w:hAnsiTheme="majorHAnsi" w:cstheme="majorHAnsi"/>
          <w:sz w:val="22"/>
          <w:szCs w:val="22"/>
        </w:rPr>
        <w:t>Das Gesamtkonzept des nachhaltigen, grünen Bankengruppenhauptsitzes hat auch des MIPIM Awards in Cannes voll überzeugt. Dieser würdigt die weltweit herausragendsten Immobilienprojekte. Sie gelten als das Beste, was die Branche zu bieten hat. Dass das BNP Paribas Fortis Gebäude die Goldmedaille gewonnen hat, ist eine bemerkenswerte, aber wohlverdiente Leistung.</w:t>
      </w:r>
      <w:bookmarkEnd w:id="0"/>
    </w:p>
    <w:p w14:paraId="4E1E6455" w14:textId="77777777" w:rsidR="00BB37C1" w:rsidRDefault="00BB37C1" w:rsidP="00BB37C1">
      <w:pPr>
        <w:suppressAutoHyphens/>
        <w:autoSpaceDE w:val="0"/>
        <w:autoSpaceDN w:val="0"/>
        <w:adjustRightInd w:val="0"/>
        <w:spacing w:after="0" w:line="288" w:lineRule="auto"/>
        <w:textAlignment w:val="center"/>
        <w:rPr>
          <w:rFonts w:asciiTheme="majorHAnsi" w:hAnsiTheme="majorHAnsi" w:cstheme="majorHAnsi"/>
          <w:color w:val="000000"/>
          <w:spacing w:val="-3"/>
        </w:rPr>
      </w:pPr>
      <w:bookmarkStart w:id="1" w:name="_Hlk152338923"/>
      <w:r>
        <w:rPr>
          <w:rFonts w:asciiTheme="majorHAnsi" w:hAnsiTheme="majorHAnsi" w:cstheme="majorHAnsi"/>
          <w:color w:val="000000"/>
          <w:spacing w:val="-3"/>
        </w:rPr>
        <w:t>Sigrid Knaupe</w:t>
      </w:r>
    </w:p>
    <w:p w14:paraId="7EFBFECC" w14:textId="77777777" w:rsidR="00BB37C1" w:rsidRDefault="00BB37C1" w:rsidP="00BB37C1">
      <w:pPr>
        <w:suppressAutoHyphens/>
        <w:autoSpaceDE w:val="0"/>
        <w:autoSpaceDN w:val="0"/>
        <w:adjustRightInd w:val="0"/>
        <w:spacing w:after="0" w:line="288" w:lineRule="auto"/>
        <w:textAlignment w:val="center"/>
        <w:rPr>
          <w:rFonts w:asciiTheme="majorHAnsi" w:hAnsiTheme="majorHAnsi" w:cstheme="majorHAnsi"/>
          <w:color w:val="000000"/>
          <w:spacing w:val="-3"/>
        </w:rPr>
      </w:pPr>
      <w:r>
        <w:rPr>
          <w:rFonts w:asciiTheme="majorHAnsi" w:hAnsiTheme="majorHAnsi" w:cstheme="majorHAnsi"/>
          <w:color w:val="000000"/>
          <w:spacing w:val="-3"/>
        </w:rPr>
        <w:t>Marketing Manager</w:t>
      </w:r>
    </w:p>
    <w:p w14:paraId="246AC3DC" w14:textId="77777777" w:rsidR="00BB37C1" w:rsidRDefault="00BB37C1" w:rsidP="00BB37C1">
      <w:pPr>
        <w:suppressAutoHyphens/>
        <w:autoSpaceDE w:val="0"/>
        <w:autoSpaceDN w:val="0"/>
        <w:adjustRightInd w:val="0"/>
        <w:spacing w:after="0" w:line="288" w:lineRule="auto"/>
        <w:textAlignment w:val="center"/>
        <w:rPr>
          <w:rFonts w:asciiTheme="majorHAnsi" w:hAnsiTheme="majorHAnsi" w:cstheme="majorHAnsi"/>
          <w:b/>
          <w:bCs/>
          <w:color w:val="000000"/>
        </w:rPr>
      </w:pPr>
    </w:p>
    <w:p w14:paraId="2EE88A31" w14:textId="77777777" w:rsidR="00BB37C1" w:rsidRDefault="00BB37C1" w:rsidP="00BB37C1">
      <w:pPr>
        <w:suppressAutoHyphens/>
        <w:autoSpaceDE w:val="0"/>
        <w:autoSpaceDN w:val="0"/>
        <w:adjustRightInd w:val="0"/>
        <w:spacing w:after="0" w:line="288" w:lineRule="auto"/>
        <w:textAlignment w:val="center"/>
        <w:rPr>
          <w:rFonts w:asciiTheme="majorHAnsi" w:hAnsiTheme="majorHAnsi" w:cstheme="majorHAnsi"/>
          <w:b/>
          <w:bCs/>
          <w:color w:val="000000"/>
          <w:spacing w:val="-3"/>
        </w:rPr>
      </w:pPr>
      <w:r>
        <w:rPr>
          <w:rFonts w:asciiTheme="majorHAnsi" w:hAnsiTheme="majorHAnsi" w:cstheme="majorHAnsi"/>
          <w:b/>
          <w:bCs/>
          <w:color w:val="000000"/>
          <w:spacing w:val="-3"/>
        </w:rPr>
        <w:t>B.E.G. Brück Electronic GmbH</w:t>
      </w:r>
    </w:p>
    <w:p w14:paraId="2A0A4747" w14:textId="77777777" w:rsidR="00BB37C1" w:rsidRDefault="00BB37C1" w:rsidP="00BB37C1">
      <w:pPr>
        <w:spacing w:line="276" w:lineRule="auto"/>
        <w:rPr>
          <w:rFonts w:asciiTheme="majorHAnsi" w:hAnsiTheme="majorHAnsi" w:cstheme="majorHAnsi"/>
          <w:color w:val="000000"/>
        </w:rPr>
      </w:pPr>
      <w:r>
        <w:rPr>
          <w:rFonts w:asciiTheme="majorHAnsi" w:hAnsiTheme="majorHAnsi" w:cstheme="majorHAnsi"/>
        </w:rPr>
        <w:t>www.beg-luxomat.com</w:t>
      </w:r>
      <w:bookmarkEnd w:id="1"/>
    </w:p>
    <w:p w14:paraId="7F806A2F" w14:textId="5FDA2084" w:rsidR="008B01AF" w:rsidRPr="008B01AF" w:rsidRDefault="008B01AF" w:rsidP="00BB37C1">
      <w:pPr>
        <w:pStyle w:val="KeinAbsatzformat"/>
        <w:tabs>
          <w:tab w:val="left" w:pos="380"/>
          <w:tab w:val="left" w:pos="820"/>
        </w:tabs>
        <w:suppressAutoHyphens/>
        <w:spacing w:before="57" w:after="283" w:line="276" w:lineRule="auto"/>
        <w:rPr>
          <w:rFonts w:asciiTheme="majorHAnsi" w:hAnsiTheme="majorHAnsi" w:cstheme="majorHAnsi"/>
          <w:sz w:val="22"/>
          <w:szCs w:val="22"/>
        </w:rPr>
      </w:pPr>
    </w:p>
    <w:sectPr w:rsidR="008B01AF" w:rsidRPr="008B01AF" w:rsidSect="00926A09">
      <w:headerReference w:type="default" r:id="rId11"/>
      <w:footerReference w:type="default" r:id="rId12"/>
      <w:pgSz w:w="11906" w:h="16838" w:code="9"/>
      <w:pgMar w:top="1418" w:right="1418" w:bottom="1134" w:left="1418" w:header="709" w:footer="709" w:gutter="0"/>
      <w:cols w:space="720"/>
      <w:formProt w:val="0"/>
      <w:docGrid w:linePitch="360" w:charSpace="-204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7C559B" w14:textId="77777777" w:rsidR="00FE03AF" w:rsidRDefault="00FE03AF">
      <w:pPr>
        <w:spacing w:after="0" w:line="240" w:lineRule="auto"/>
      </w:pPr>
      <w:r>
        <w:separator/>
      </w:r>
    </w:p>
  </w:endnote>
  <w:endnote w:type="continuationSeparator" w:id="0">
    <w:p w14:paraId="071AD23F" w14:textId="77777777" w:rsidR="00FE03AF" w:rsidRDefault="00FE03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Minion Pro">
    <w:altName w:val="Cambria"/>
    <w:panose1 w:val="00000000000000000000"/>
    <w:charset w:val="00"/>
    <w:family w:val="roman"/>
    <w:notTrueType/>
    <w:pitch w:val="variable"/>
    <w:sig w:usb0="60000287" w:usb1="00000001" w:usb2="00000000" w:usb3="00000000" w:csb0="0000019F" w:csb1="00000000"/>
  </w:font>
  <w:font w:name="Glober Regular">
    <w:panose1 w:val="00000000000000000000"/>
    <w:charset w:val="00"/>
    <w:family w:val="auto"/>
    <w:pitch w:val="variable"/>
    <w:sig w:usb0="A00002AF" w:usb1="5000207B" w:usb2="00000000" w:usb3="00000000" w:csb0="00000087" w:csb1="00000000"/>
  </w:font>
  <w:font w:name="Calibri Light">
    <w:panose1 w:val="020F03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Futura Bk BT">
    <w:panose1 w:val="00000000000000000000"/>
    <w:charset w:val="00"/>
    <w:family w:val="swiss"/>
    <w:notTrueType/>
    <w:pitch w:val="variable"/>
    <w:sig w:usb0="00000003" w:usb1="00000000" w:usb2="00000000" w:usb3="00000000" w:csb0="00000001" w:csb1="00000000"/>
  </w:font>
  <w:font w:name="Futura-Heavy">
    <w:panose1 w:val="00000000000000000000"/>
    <w:charset w:val="00"/>
    <w:family w:val="swiss"/>
    <w:notTrueType/>
    <w:pitch w:val="variable"/>
    <w:sig w:usb0="00000003" w:usb1="00000000" w:usb2="00000000" w:usb3="00000000" w:csb0="00000001" w:csb1="00000000"/>
  </w:font>
  <w:font w:name="Futura-CondensedExtraBold">
    <w:panose1 w:val="00000000000000000000"/>
    <w:charset w:val="00"/>
    <w:family w:val="swiss"/>
    <w:notTrueType/>
    <w:pitch w:val="variable"/>
    <w:sig w:usb0="00000003" w:usb1="00000000" w:usb2="00000000" w:usb3="00000000" w:csb0="00000001" w:csb1="00000000"/>
  </w:font>
  <w:font w:name="Futura">
    <w:panose1 w:val="00000000000000000000"/>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5F0F2A" w14:textId="77777777" w:rsidR="002B05A7" w:rsidRDefault="002B05A7">
    <w:pPr>
      <w:pStyle w:val="Fuzeile"/>
      <w:rPr>
        <w:rFonts w:ascii="Verdana" w:eastAsia="Futura Bk BT" w:hAnsi="Verdana" w:cs="Futura Bk BT"/>
        <w:color w:val="151616"/>
        <w:sz w:val="12"/>
        <w:szCs w:val="12"/>
      </w:rPr>
    </w:pPr>
  </w:p>
  <w:p w14:paraId="26D59C4B" w14:textId="77777777" w:rsidR="002B05A7" w:rsidRDefault="002B05A7">
    <w:pPr>
      <w:pStyle w:val="Fuzeile"/>
      <w:rPr>
        <w:rFonts w:ascii="Verdana" w:eastAsia="Futura Bk BT" w:hAnsi="Verdana" w:cs="Futura Bk BT"/>
        <w:color w:val="151616"/>
        <w:sz w:val="12"/>
        <w:szCs w:val="12"/>
      </w:rPr>
    </w:pPr>
  </w:p>
  <w:p w14:paraId="6BD9C182" w14:textId="77777777" w:rsidR="00157D99" w:rsidRPr="00BB37C1" w:rsidRDefault="000C70FB">
    <w:pPr>
      <w:pStyle w:val="Fuzeile"/>
      <w:rPr>
        <w:rFonts w:asciiTheme="majorHAnsi" w:eastAsia="Futura Bk BT" w:hAnsiTheme="majorHAnsi" w:cstheme="majorHAnsi"/>
        <w:color w:val="151616"/>
        <w:sz w:val="20"/>
        <w:szCs w:val="20"/>
      </w:rPr>
    </w:pPr>
    <w:r w:rsidRPr="00BB37C1">
      <w:rPr>
        <w:rFonts w:asciiTheme="majorHAnsi" w:eastAsia="Futura Bk BT" w:hAnsiTheme="majorHAnsi" w:cstheme="majorHAnsi"/>
        <w:color w:val="151616"/>
        <w:sz w:val="20"/>
        <w:szCs w:val="20"/>
      </w:rPr>
      <w:t>Abdruck kostenfrei, ein Belegexemplar wird erbeten!</w:t>
    </w:r>
  </w:p>
  <w:p w14:paraId="1BE19762" w14:textId="77777777" w:rsidR="00157D99" w:rsidRPr="00BB37C1" w:rsidRDefault="00157D99">
    <w:pPr>
      <w:pStyle w:val="Fuzeile"/>
      <w:rPr>
        <w:rFonts w:asciiTheme="majorHAnsi" w:hAnsiTheme="majorHAnsi" w:cstheme="majorHAnsi"/>
        <w:sz w:val="20"/>
        <w:szCs w:val="20"/>
      </w:rPr>
    </w:pPr>
  </w:p>
  <w:p w14:paraId="38794785" w14:textId="77777777" w:rsidR="00157D99" w:rsidRPr="00BB37C1" w:rsidRDefault="000C70FB">
    <w:pPr>
      <w:widowControl w:val="0"/>
      <w:spacing w:after="0" w:line="158" w:lineRule="exact"/>
      <w:ind w:left="20" w:right="-20"/>
      <w:rPr>
        <w:rFonts w:asciiTheme="majorHAnsi" w:eastAsia="Futura-Heavy" w:hAnsiTheme="majorHAnsi" w:cstheme="majorHAnsi"/>
        <w:sz w:val="20"/>
        <w:szCs w:val="20"/>
      </w:rPr>
    </w:pPr>
    <w:r w:rsidRPr="00BB37C1">
      <w:rPr>
        <w:rFonts w:asciiTheme="majorHAnsi" w:eastAsia="Futura-Heavy" w:hAnsiTheme="majorHAnsi" w:cstheme="majorHAnsi"/>
        <w:color w:val="E4382D"/>
        <w:sz w:val="20"/>
        <w:szCs w:val="20"/>
      </w:rPr>
      <w:t>Pressekontakt:</w:t>
    </w:r>
  </w:p>
  <w:p w14:paraId="1FB986A5" w14:textId="1EA94883" w:rsidR="00157D99" w:rsidRPr="00BB37C1" w:rsidRDefault="000C70FB">
    <w:pPr>
      <w:widowControl w:val="0"/>
      <w:spacing w:before="33" w:after="0" w:line="240" w:lineRule="auto"/>
      <w:ind w:left="20" w:right="-567"/>
      <w:rPr>
        <w:rFonts w:asciiTheme="majorHAnsi" w:hAnsiTheme="majorHAnsi" w:cstheme="majorHAnsi"/>
        <w:sz w:val="20"/>
        <w:szCs w:val="20"/>
      </w:rPr>
    </w:pPr>
    <w:r w:rsidRPr="00BB37C1">
      <w:rPr>
        <w:rFonts w:asciiTheme="majorHAnsi" w:eastAsia="Futura-CondensedExtraBold" w:hAnsiTheme="majorHAnsi" w:cstheme="majorHAnsi"/>
        <w:color w:val="151616"/>
        <w:sz w:val="20"/>
        <w:szCs w:val="20"/>
      </w:rPr>
      <w:t xml:space="preserve">B.E.G. </w:t>
    </w:r>
    <w:r w:rsidRPr="00BB37C1">
      <w:rPr>
        <w:rFonts w:asciiTheme="majorHAnsi" w:eastAsia="Futura Bk BT" w:hAnsiTheme="majorHAnsi" w:cstheme="majorHAnsi"/>
        <w:color w:val="151616"/>
        <w:sz w:val="20"/>
        <w:szCs w:val="20"/>
      </w:rPr>
      <w:t xml:space="preserve">Brück Electronic GmbH • </w:t>
    </w:r>
    <w:r w:rsidR="00926A09" w:rsidRPr="00BB37C1">
      <w:rPr>
        <w:rFonts w:asciiTheme="majorHAnsi" w:eastAsia="Futura Bk BT" w:hAnsiTheme="majorHAnsi" w:cstheme="majorHAnsi"/>
        <w:color w:val="151616"/>
        <w:sz w:val="20"/>
        <w:szCs w:val="20"/>
      </w:rPr>
      <w:t>Sigrid Knaupe</w:t>
    </w:r>
    <w:r w:rsidRPr="00BB37C1">
      <w:rPr>
        <w:rFonts w:asciiTheme="majorHAnsi" w:eastAsia="Futura Bk BT" w:hAnsiTheme="majorHAnsi" w:cstheme="majorHAnsi"/>
        <w:color w:val="151616"/>
        <w:sz w:val="20"/>
        <w:szCs w:val="20"/>
      </w:rPr>
      <w:t xml:space="preserve"> • Gerberstraße 33 • D-51789 Lindlar </w:t>
    </w:r>
  </w:p>
  <w:p w14:paraId="2B6F2CCD" w14:textId="77777777" w:rsidR="00157D99" w:rsidRPr="00BB37C1" w:rsidRDefault="000C70FB">
    <w:pPr>
      <w:widowControl w:val="0"/>
      <w:spacing w:before="33" w:after="0" w:line="240" w:lineRule="auto"/>
      <w:ind w:left="20" w:right="-567"/>
      <w:rPr>
        <w:rFonts w:asciiTheme="majorHAnsi" w:hAnsiTheme="majorHAnsi" w:cstheme="majorHAnsi"/>
        <w:sz w:val="20"/>
        <w:szCs w:val="20"/>
      </w:rPr>
    </w:pPr>
    <w:r w:rsidRPr="00BB37C1">
      <w:rPr>
        <w:rFonts w:asciiTheme="majorHAnsi" w:eastAsia="Futura Bk BT" w:hAnsiTheme="majorHAnsi" w:cstheme="majorHAnsi"/>
        <w:color w:val="151616"/>
        <w:sz w:val="20"/>
        <w:szCs w:val="20"/>
      </w:rPr>
      <w:t xml:space="preserve">Tel. +49 (0) 2266.90121-304 • </w:t>
    </w:r>
    <w:hyperlink r:id="rId1">
      <w:r w:rsidRPr="00BB37C1">
        <w:rPr>
          <w:rStyle w:val="Internetlink"/>
          <w:rFonts w:asciiTheme="majorHAnsi" w:eastAsia="Futura Bk BT" w:hAnsiTheme="majorHAnsi" w:cstheme="majorHAnsi"/>
          <w:color w:val="151616"/>
          <w:sz w:val="20"/>
          <w:szCs w:val="20"/>
        </w:rPr>
        <w:t>presse@beg.de</w:t>
      </w:r>
    </w:hyperlink>
    <w:r w:rsidRPr="00BB37C1">
      <w:rPr>
        <w:rFonts w:asciiTheme="majorHAnsi" w:eastAsia="Futura Bk BT" w:hAnsiTheme="majorHAnsi" w:cstheme="majorHAnsi"/>
        <w:color w:val="151616"/>
        <w:sz w:val="20"/>
        <w:szCs w:val="20"/>
      </w:rPr>
      <w:t xml:space="preserve"> • </w:t>
    </w:r>
    <w:hyperlink r:id="rId2">
      <w:r w:rsidRPr="00BB37C1">
        <w:rPr>
          <w:rStyle w:val="Internetlink"/>
          <w:rFonts w:asciiTheme="majorHAnsi" w:eastAsia="Futura" w:hAnsiTheme="majorHAnsi" w:cstheme="majorHAnsi"/>
          <w:color w:val="151616"/>
          <w:sz w:val="20"/>
          <w:szCs w:val="20"/>
        </w:rPr>
        <w:t>www.beg-luxomat.com</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E1F53B" w14:textId="77777777" w:rsidR="00FE03AF" w:rsidRDefault="00FE03AF">
      <w:pPr>
        <w:spacing w:after="0" w:line="240" w:lineRule="auto"/>
      </w:pPr>
      <w:r>
        <w:separator/>
      </w:r>
    </w:p>
  </w:footnote>
  <w:footnote w:type="continuationSeparator" w:id="0">
    <w:p w14:paraId="2573D519" w14:textId="77777777" w:rsidR="00FE03AF" w:rsidRDefault="00FE03A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9062" w:type="dxa"/>
      <w:tblCellMar>
        <w:left w:w="35" w:type="dxa"/>
        <w:bottom w:w="227" w:type="dxa"/>
        <w:right w:w="0" w:type="dxa"/>
      </w:tblCellMar>
      <w:tblLook w:val="04A0" w:firstRow="1" w:lastRow="0" w:firstColumn="1" w:lastColumn="0" w:noHBand="0" w:noVBand="1"/>
    </w:tblPr>
    <w:tblGrid>
      <w:gridCol w:w="4532"/>
      <w:gridCol w:w="4530"/>
    </w:tblGrid>
    <w:tr w:rsidR="00157D99" w14:paraId="2F8BC055" w14:textId="77777777">
      <w:tc>
        <w:tcPr>
          <w:tcW w:w="4531" w:type="dxa"/>
          <w:tcBorders>
            <w:top w:val="nil"/>
            <w:left w:val="nil"/>
            <w:bottom w:val="single" w:sz="4" w:space="0" w:color="FF0000"/>
            <w:right w:val="nil"/>
          </w:tcBorders>
          <w:shd w:val="clear" w:color="auto" w:fill="auto"/>
        </w:tcPr>
        <w:p w14:paraId="34CCC29B" w14:textId="77777777" w:rsidR="00157D99" w:rsidRDefault="000C70FB">
          <w:pPr>
            <w:pStyle w:val="Kopfzeile"/>
            <w:rPr>
              <w:rFonts w:ascii="Verdana" w:hAnsi="Verdana"/>
            </w:rPr>
          </w:pPr>
          <w:r>
            <w:rPr>
              <w:noProof/>
              <w:lang w:eastAsia="de-DE"/>
            </w:rPr>
            <w:drawing>
              <wp:inline distT="0" distB="0" distL="0" distR="0" wp14:anchorId="171E0BBC" wp14:editId="76B4EBA8">
                <wp:extent cx="539750" cy="539750"/>
                <wp:effectExtent l="0" t="0" r="0" b="0"/>
                <wp:docPr id="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3"/>
                        <pic:cNvPicPr>
                          <a:picLocks noChangeAspect="1" noChangeArrowheads="1"/>
                        </pic:cNvPicPr>
                      </pic:nvPicPr>
                      <pic:blipFill>
                        <a:blip r:embed="rId1"/>
                        <a:stretch>
                          <a:fillRect/>
                        </a:stretch>
                      </pic:blipFill>
                      <pic:spPr bwMode="auto">
                        <a:xfrm>
                          <a:off x="0" y="0"/>
                          <a:ext cx="539750" cy="539750"/>
                        </a:xfrm>
                        <a:prstGeom prst="rect">
                          <a:avLst/>
                        </a:prstGeom>
                      </pic:spPr>
                    </pic:pic>
                  </a:graphicData>
                </a:graphic>
              </wp:inline>
            </w:drawing>
          </w:r>
        </w:p>
      </w:tc>
      <w:tc>
        <w:tcPr>
          <w:tcW w:w="4530" w:type="dxa"/>
          <w:tcBorders>
            <w:top w:val="nil"/>
            <w:left w:val="nil"/>
            <w:bottom w:val="single" w:sz="4" w:space="0" w:color="FF0000"/>
            <w:right w:val="nil"/>
          </w:tcBorders>
          <w:shd w:val="clear" w:color="auto" w:fill="auto"/>
          <w:vAlign w:val="bottom"/>
        </w:tcPr>
        <w:p w14:paraId="2E528A2E" w14:textId="77777777" w:rsidR="00157D99" w:rsidRPr="00BB37C1" w:rsidRDefault="000C70FB">
          <w:pPr>
            <w:pStyle w:val="Kopfzeile"/>
            <w:jc w:val="right"/>
            <w:rPr>
              <w:rFonts w:asciiTheme="majorHAnsi" w:hAnsiTheme="majorHAnsi" w:cstheme="majorHAnsi"/>
              <w:sz w:val="40"/>
              <w:szCs w:val="44"/>
            </w:rPr>
          </w:pPr>
          <w:r w:rsidRPr="00BB37C1">
            <w:rPr>
              <w:rFonts w:asciiTheme="majorHAnsi" w:hAnsiTheme="majorHAnsi" w:cstheme="majorHAnsi"/>
              <w:color w:val="808080" w:themeColor="background1" w:themeShade="80"/>
              <w:sz w:val="40"/>
              <w:szCs w:val="44"/>
            </w:rPr>
            <w:t>PRESSEMITTEILUNG</w:t>
          </w:r>
        </w:p>
      </w:tc>
    </w:tr>
  </w:tbl>
  <w:p w14:paraId="1F5E4A82" w14:textId="77777777" w:rsidR="00157D99" w:rsidRDefault="00157D99">
    <w:pPr>
      <w:pStyle w:val="Kopfzeile"/>
      <w:rPr>
        <w:rFonts w:ascii="Verdana" w:hAnsi="Verdana"/>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57D99"/>
    <w:rsid w:val="000052DA"/>
    <w:rsid w:val="000C70FB"/>
    <w:rsid w:val="000F619C"/>
    <w:rsid w:val="00125063"/>
    <w:rsid w:val="0015152D"/>
    <w:rsid w:val="00157D99"/>
    <w:rsid w:val="00173342"/>
    <w:rsid w:val="00174F7C"/>
    <w:rsid w:val="001B224F"/>
    <w:rsid w:val="001E5DB2"/>
    <w:rsid w:val="00243F07"/>
    <w:rsid w:val="00251118"/>
    <w:rsid w:val="00260105"/>
    <w:rsid w:val="00272575"/>
    <w:rsid w:val="00292A27"/>
    <w:rsid w:val="002B05A7"/>
    <w:rsid w:val="002F75BD"/>
    <w:rsid w:val="003A2928"/>
    <w:rsid w:val="003E5799"/>
    <w:rsid w:val="00415BF6"/>
    <w:rsid w:val="004249A0"/>
    <w:rsid w:val="00432294"/>
    <w:rsid w:val="004805EC"/>
    <w:rsid w:val="00487C8D"/>
    <w:rsid w:val="0049000C"/>
    <w:rsid w:val="004906D9"/>
    <w:rsid w:val="004B37F4"/>
    <w:rsid w:val="004B47FE"/>
    <w:rsid w:val="004C71F6"/>
    <w:rsid w:val="004D6BF7"/>
    <w:rsid w:val="004F10C1"/>
    <w:rsid w:val="0050183C"/>
    <w:rsid w:val="0057288A"/>
    <w:rsid w:val="00580160"/>
    <w:rsid w:val="00593D12"/>
    <w:rsid w:val="005B3A74"/>
    <w:rsid w:val="00600728"/>
    <w:rsid w:val="006A0305"/>
    <w:rsid w:val="006A4A40"/>
    <w:rsid w:val="006E2A22"/>
    <w:rsid w:val="006E716F"/>
    <w:rsid w:val="006F5AA5"/>
    <w:rsid w:val="00742AFF"/>
    <w:rsid w:val="00786330"/>
    <w:rsid w:val="007A1292"/>
    <w:rsid w:val="007C1922"/>
    <w:rsid w:val="007D5296"/>
    <w:rsid w:val="008168BB"/>
    <w:rsid w:val="00824F5C"/>
    <w:rsid w:val="008449AD"/>
    <w:rsid w:val="00865F29"/>
    <w:rsid w:val="00881240"/>
    <w:rsid w:val="00892B02"/>
    <w:rsid w:val="008939D0"/>
    <w:rsid w:val="008B01AF"/>
    <w:rsid w:val="008E1A67"/>
    <w:rsid w:val="008F2ED3"/>
    <w:rsid w:val="00901719"/>
    <w:rsid w:val="00926A09"/>
    <w:rsid w:val="00932A5E"/>
    <w:rsid w:val="009D2245"/>
    <w:rsid w:val="00A45B01"/>
    <w:rsid w:val="00A77CBC"/>
    <w:rsid w:val="00AB4F93"/>
    <w:rsid w:val="00B034F6"/>
    <w:rsid w:val="00B418C5"/>
    <w:rsid w:val="00B838EF"/>
    <w:rsid w:val="00BB37C1"/>
    <w:rsid w:val="00BC3ACE"/>
    <w:rsid w:val="00BC4CFA"/>
    <w:rsid w:val="00BD5FA0"/>
    <w:rsid w:val="00BD7AA9"/>
    <w:rsid w:val="00BF6C3A"/>
    <w:rsid w:val="00C309C9"/>
    <w:rsid w:val="00C50276"/>
    <w:rsid w:val="00C53474"/>
    <w:rsid w:val="00C70306"/>
    <w:rsid w:val="00CA4AF2"/>
    <w:rsid w:val="00CE413E"/>
    <w:rsid w:val="00D218BF"/>
    <w:rsid w:val="00D37A48"/>
    <w:rsid w:val="00D87609"/>
    <w:rsid w:val="00D879D0"/>
    <w:rsid w:val="00DA3B18"/>
    <w:rsid w:val="00DB0408"/>
    <w:rsid w:val="00DB5939"/>
    <w:rsid w:val="00E35372"/>
    <w:rsid w:val="00E50856"/>
    <w:rsid w:val="00E50ACE"/>
    <w:rsid w:val="00E52DA5"/>
    <w:rsid w:val="00E74B28"/>
    <w:rsid w:val="00E80445"/>
    <w:rsid w:val="00E81CC3"/>
    <w:rsid w:val="00E92342"/>
    <w:rsid w:val="00E97273"/>
    <w:rsid w:val="00ED7866"/>
    <w:rsid w:val="00F00090"/>
    <w:rsid w:val="00F70DB0"/>
    <w:rsid w:val="00FE03AF"/>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58C9AE"/>
  <w15:docId w15:val="{EC8C7CDA-5591-4853-B3FF-11DCE8F04C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Cs w:val="22"/>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160" w:line="259" w:lineRule="auto"/>
    </w:pPr>
    <w:rPr>
      <w:color w:val="00000A"/>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KopfzeileZchn">
    <w:name w:val="Kopfzeile Zchn"/>
    <w:basedOn w:val="Absatz-Standardschriftart"/>
    <w:link w:val="Kopfzeile"/>
    <w:uiPriority w:val="99"/>
    <w:qFormat/>
    <w:rsid w:val="00B978AD"/>
  </w:style>
  <w:style w:type="character" w:customStyle="1" w:styleId="FuzeileZchn">
    <w:name w:val="Fußzeile Zchn"/>
    <w:basedOn w:val="Absatz-Standardschriftart"/>
    <w:link w:val="Fuzeile"/>
    <w:uiPriority w:val="99"/>
    <w:qFormat/>
    <w:rsid w:val="00B978AD"/>
  </w:style>
  <w:style w:type="character" w:customStyle="1" w:styleId="SprechblasentextZchn">
    <w:name w:val="Sprechblasentext Zchn"/>
    <w:basedOn w:val="Absatz-Standardschriftart"/>
    <w:link w:val="Sprechblasentext"/>
    <w:uiPriority w:val="99"/>
    <w:semiHidden/>
    <w:qFormat/>
    <w:rsid w:val="00FA1629"/>
    <w:rPr>
      <w:rFonts w:ascii="Tahoma" w:hAnsi="Tahoma" w:cs="Tahoma"/>
      <w:sz w:val="16"/>
      <w:szCs w:val="16"/>
    </w:rPr>
  </w:style>
  <w:style w:type="character" w:customStyle="1" w:styleId="Internetlink">
    <w:name w:val="Internetlink"/>
    <w:rPr>
      <w:color w:val="000080"/>
      <w:u w:val="single"/>
    </w:rPr>
  </w:style>
  <w:style w:type="paragraph" w:customStyle="1" w:styleId="berschrift">
    <w:name w:val="Überschrift"/>
    <w:basedOn w:val="Standard"/>
    <w:next w:val="Textkrper"/>
    <w:qFormat/>
    <w:pPr>
      <w:keepNext/>
      <w:spacing w:before="240" w:after="120"/>
    </w:pPr>
    <w:rPr>
      <w:rFonts w:ascii="Liberation Sans" w:eastAsia="Microsoft YaHei" w:hAnsi="Liberation Sans" w:cs="Mangal"/>
      <w:sz w:val="28"/>
      <w:szCs w:val="28"/>
    </w:rPr>
  </w:style>
  <w:style w:type="paragraph" w:styleId="Textkrper">
    <w:name w:val="Body Text"/>
    <w:basedOn w:val="Standard"/>
    <w:pPr>
      <w:spacing w:after="140" w:line="288" w:lineRule="auto"/>
    </w:pPr>
  </w:style>
  <w:style w:type="paragraph" w:styleId="Liste">
    <w:name w:val="List"/>
    <w:basedOn w:val="Textkrper"/>
    <w:rPr>
      <w:rFonts w:cs="Mangal"/>
    </w:rPr>
  </w:style>
  <w:style w:type="paragraph" w:styleId="Beschriftung">
    <w:name w:val="caption"/>
    <w:basedOn w:val="Standard"/>
    <w:qFormat/>
    <w:pPr>
      <w:suppressLineNumbers/>
      <w:spacing w:before="120" w:after="120"/>
    </w:pPr>
    <w:rPr>
      <w:rFonts w:cs="Mangal"/>
      <w:i/>
      <w:iCs/>
      <w:sz w:val="24"/>
      <w:szCs w:val="24"/>
    </w:rPr>
  </w:style>
  <w:style w:type="paragraph" w:customStyle="1" w:styleId="Verzeichnis">
    <w:name w:val="Verzeichnis"/>
    <w:basedOn w:val="Standard"/>
    <w:qFormat/>
    <w:pPr>
      <w:suppressLineNumbers/>
    </w:pPr>
    <w:rPr>
      <w:rFonts w:cs="Mangal"/>
    </w:rPr>
  </w:style>
  <w:style w:type="paragraph" w:styleId="Kopfzeile">
    <w:name w:val="header"/>
    <w:basedOn w:val="Standard"/>
    <w:link w:val="KopfzeileZchn"/>
    <w:uiPriority w:val="99"/>
    <w:unhideWhenUsed/>
    <w:rsid w:val="00B978AD"/>
    <w:pPr>
      <w:tabs>
        <w:tab w:val="center" w:pos="4536"/>
        <w:tab w:val="right" w:pos="9072"/>
      </w:tabs>
      <w:spacing w:after="0" w:line="240" w:lineRule="auto"/>
    </w:pPr>
  </w:style>
  <w:style w:type="paragraph" w:styleId="Fuzeile">
    <w:name w:val="footer"/>
    <w:basedOn w:val="Standard"/>
    <w:link w:val="FuzeileZchn"/>
    <w:uiPriority w:val="99"/>
    <w:unhideWhenUsed/>
    <w:rsid w:val="00B978AD"/>
    <w:pPr>
      <w:tabs>
        <w:tab w:val="center" w:pos="4536"/>
        <w:tab w:val="right" w:pos="9072"/>
      </w:tabs>
      <w:spacing w:after="0" w:line="240" w:lineRule="auto"/>
    </w:pPr>
  </w:style>
  <w:style w:type="paragraph" w:customStyle="1" w:styleId="NormalParagraphStyle">
    <w:name w:val="NormalParagraphStyle"/>
    <w:basedOn w:val="Standard"/>
    <w:qFormat/>
    <w:rsid w:val="0025628C"/>
    <w:pPr>
      <w:widowControl w:val="0"/>
      <w:suppressAutoHyphens/>
      <w:spacing w:after="0" w:line="288" w:lineRule="auto"/>
      <w:textAlignment w:val="center"/>
    </w:pPr>
    <w:rPr>
      <w:rFonts w:ascii="Times New Roman" w:eastAsia="Times New Roman" w:hAnsi="Times New Roman" w:cs="Times New Roman"/>
      <w:color w:val="000000"/>
      <w:sz w:val="24"/>
      <w:szCs w:val="24"/>
    </w:rPr>
  </w:style>
  <w:style w:type="paragraph" w:styleId="Sprechblasentext">
    <w:name w:val="Balloon Text"/>
    <w:basedOn w:val="Standard"/>
    <w:link w:val="SprechblasentextZchn"/>
    <w:uiPriority w:val="99"/>
    <w:semiHidden/>
    <w:unhideWhenUsed/>
    <w:qFormat/>
    <w:rsid w:val="00FA1629"/>
    <w:pPr>
      <w:spacing w:after="0" w:line="240" w:lineRule="auto"/>
    </w:pPr>
    <w:rPr>
      <w:rFonts w:ascii="Tahoma" w:hAnsi="Tahoma" w:cs="Tahoma"/>
      <w:sz w:val="16"/>
      <w:szCs w:val="16"/>
    </w:rPr>
  </w:style>
  <w:style w:type="table" w:styleId="Tabellenraster">
    <w:name w:val="Table Grid"/>
    <w:basedOn w:val="NormaleTabelle"/>
    <w:uiPriority w:val="39"/>
    <w:rsid w:val="002562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uiPriority w:val="99"/>
    <w:semiHidden/>
    <w:unhideWhenUsed/>
    <w:rsid w:val="00E74B28"/>
    <w:rPr>
      <w:sz w:val="16"/>
      <w:szCs w:val="16"/>
    </w:rPr>
  </w:style>
  <w:style w:type="paragraph" w:styleId="Kommentartext">
    <w:name w:val="annotation text"/>
    <w:basedOn w:val="Standard"/>
    <w:link w:val="KommentartextZchn"/>
    <w:uiPriority w:val="99"/>
    <w:unhideWhenUsed/>
    <w:rsid w:val="00E74B28"/>
    <w:pPr>
      <w:spacing w:line="240" w:lineRule="auto"/>
    </w:pPr>
    <w:rPr>
      <w:sz w:val="20"/>
      <w:szCs w:val="20"/>
    </w:rPr>
  </w:style>
  <w:style w:type="character" w:customStyle="1" w:styleId="KommentartextZchn">
    <w:name w:val="Kommentartext Zchn"/>
    <w:basedOn w:val="Absatz-Standardschriftart"/>
    <w:link w:val="Kommentartext"/>
    <w:uiPriority w:val="99"/>
    <w:rsid w:val="00E74B28"/>
    <w:rPr>
      <w:color w:val="00000A"/>
      <w:szCs w:val="20"/>
    </w:rPr>
  </w:style>
  <w:style w:type="paragraph" w:styleId="Kommentarthema">
    <w:name w:val="annotation subject"/>
    <w:basedOn w:val="Kommentartext"/>
    <w:next w:val="Kommentartext"/>
    <w:link w:val="KommentarthemaZchn"/>
    <w:uiPriority w:val="99"/>
    <w:semiHidden/>
    <w:unhideWhenUsed/>
    <w:rsid w:val="00E74B28"/>
    <w:rPr>
      <w:b/>
      <w:bCs/>
    </w:rPr>
  </w:style>
  <w:style w:type="character" w:customStyle="1" w:styleId="KommentarthemaZchn">
    <w:name w:val="Kommentarthema Zchn"/>
    <w:basedOn w:val="KommentartextZchn"/>
    <w:link w:val="Kommentarthema"/>
    <w:uiPriority w:val="99"/>
    <w:semiHidden/>
    <w:rsid w:val="00E74B28"/>
    <w:rPr>
      <w:b/>
      <w:bCs/>
      <w:color w:val="00000A"/>
      <w:szCs w:val="20"/>
    </w:rPr>
  </w:style>
  <w:style w:type="character" w:styleId="Hyperlink">
    <w:name w:val="Hyperlink"/>
    <w:basedOn w:val="Absatz-Standardschriftart"/>
    <w:uiPriority w:val="99"/>
    <w:semiHidden/>
    <w:unhideWhenUsed/>
    <w:rsid w:val="00173342"/>
    <w:rPr>
      <w:color w:val="0000FF"/>
      <w:u w:val="single"/>
    </w:rPr>
  </w:style>
  <w:style w:type="paragraph" w:customStyle="1" w:styleId="cs95e872d0">
    <w:name w:val="cs95e872d0"/>
    <w:basedOn w:val="Standard"/>
    <w:rsid w:val="00173342"/>
    <w:pPr>
      <w:spacing w:after="0" w:line="240" w:lineRule="auto"/>
    </w:pPr>
    <w:rPr>
      <w:rFonts w:ascii="Calibri" w:hAnsi="Calibri" w:cs="Calibri"/>
      <w:color w:val="auto"/>
      <w:lang w:eastAsia="de-DE"/>
    </w:rPr>
  </w:style>
  <w:style w:type="character" w:customStyle="1" w:styleId="cs1b16eeb51">
    <w:name w:val="cs1b16eeb51"/>
    <w:basedOn w:val="Absatz-Standardschriftart"/>
    <w:rsid w:val="00173342"/>
    <w:rPr>
      <w:rFonts w:ascii="Calibri" w:hAnsi="Calibri" w:cs="Calibri" w:hint="default"/>
      <w:b w:val="0"/>
      <w:bCs w:val="0"/>
      <w:i w:val="0"/>
      <w:iCs w:val="0"/>
      <w:color w:val="000000"/>
      <w:sz w:val="22"/>
      <w:szCs w:val="22"/>
    </w:rPr>
  </w:style>
  <w:style w:type="character" w:customStyle="1" w:styleId="cs91d5a1581">
    <w:name w:val="cs91d5a1581"/>
    <w:basedOn w:val="Absatz-Standardschriftart"/>
    <w:rsid w:val="00173342"/>
    <w:rPr>
      <w:rFonts w:ascii="Tahoma" w:hAnsi="Tahoma" w:cs="Tahoma" w:hint="default"/>
      <w:b w:val="0"/>
      <w:bCs w:val="0"/>
      <w:i w:val="0"/>
      <w:iCs w:val="0"/>
      <w:color w:val="000000"/>
      <w:sz w:val="20"/>
      <w:szCs w:val="20"/>
    </w:rPr>
  </w:style>
  <w:style w:type="character" w:customStyle="1" w:styleId="cs1da2e761">
    <w:name w:val="cs1da2e761"/>
    <w:basedOn w:val="Absatz-Standardschriftart"/>
    <w:rsid w:val="00173342"/>
    <w:rPr>
      <w:rFonts w:ascii="Times New Roman" w:hAnsi="Times New Roman" w:cs="Times New Roman" w:hint="default"/>
      <w:b w:val="0"/>
      <w:bCs w:val="0"/>
      <w:i w:val="0"/>
      <w:iCs w:val="0"/>
      <w:color w:val="000000"/>
      <w:sz w:val="22"/>
      <w:szCs w:val="22"/>
    </w:rPr>
  </w:style>
  <w:style w:type="paragraph" w:customStyle="1" w:styleId="KeinAbsatzformat">
    <w:name w:val="[Kein Absatzformat]"/>
    <w:rsid w:val="00AB4F93"/>
    <w:pPr>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Absatzformat1">
    <w:name w:val="Absatzformat 1"/>
    <w:basedOn w:val="Standard"/>
    <w:uiPriority w:val="99"/>
    <w:rsid w:val="00415BF6"/>
    <w:pPr>
      <w:autoSpaceDE w:val="0"/>
      <w:autoSpaceDN w:val="0"/>
      <w:adjustRightInd w:val="0"/>
      <w:spacing w:after="0" w:line="220" w:lineRule="atLeast"/>
      <w:ind w:firstLine="113"/>
      <w:jc w:val="both"/>
      <w:textAlignment w:val="center"/>
    </w:pPr>
    <w:rPr>
      <w:rFonts w:ascii="Glober Regular" w:hAnsi="Glober Regular" w:cs="Glober Regular"/>
      <w:color w:val="000000"/>
      <w:sz w:val="16"/>
      <w:szCs w:val="16"/>
    </w:rPr>
  </w:style>
  <w:style w:type="character" w:customStyle="1" w:styleId="Flietext">
    <w:name w:val="Fließtext"/>
    <w:uiPriority w:val="99"/>
    <w:rsid w:val="00415BF6"/>
    <w:rPr>
      <w:rFonts w:ascii="Glober Regular" w:hAnsi="Glober Regular" w:cs="Glober Regular"/>
      <w:color w:val="000000"/>
      <w:spacing w:val="0"/>
      <w:sz w:val="16"/>
      <w:szCs w:val="16"/>
      <w:vertAlign w:val="base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9894363">
      <w:bodyDiv w:val="1"/>
      <w:marLeft w:val="0"/>
      <w:marRight w:val="0"/>
      <w:marTop w:val="0"/>
      <w:marBottom w:val="0"/>
      <w:divBdr>
        <w:top w:val="none" w:sz="0" w:space="0" w:color="auto"/>
        <w:left w:val="none" w:sz="0" w:space="0" w:color="auto"/>
        <w:bottom w:val="none" w:sz="0" w:space="0" w:color="auto"/>
        <w:right w:val="none" w:sz="0" w:space="0" w:color="auto"/>
      </w:divBdr>
    </w:div>
    <w:div w:id="207022196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hyperlink" Target="http://www.beg-luxomat.com/" TargetMode="External"/><Relationship Id="rId1" Type="http://schemas.openxmlformats.org/officeDocument/2006/relationships/hyperlink" Target="mailto:presse@beg.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6</Pages>
  <Words>680</Words>
  <Characters>4288</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Company>
  <LinksUpToDate>false</LinksUpToDate>
  <CharactersWithSpaces>4959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 B</dc:creator>
  <cp:lastModifiedBy>Knaupe, Sigrid</cp:lastModifiedBy>
  <cp:revision>3</cp:revision>
  <cp:lastPrinted>2021-07-20T10:47:00Z</cp:lastPrinted>
  <dcterms:created xsi:type="dcterms:W3CDTF">2023-12-01T14:58:00Z</dcterms:created>
  <dcterms:modified xsi:type="dcterms:W3CDTF">2023-12-01T15:13:00Z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